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97" w:type="dxa"/>
        <w:tblInd w:w="593" w:type="dxa"/>
        <w:tblBorders>
          <w:bottom w:val="dash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5"/>
        <w:gridCol w:w="1862"/>
        <w:gridCol w:w="1330"/>
      </w:tblGrid>
      <w:tr w:rsidR="00863BBA">
        <w:trPr>
          <w:cantSplit/>
          <w:trHeight w:hRule="exact" w:val="284"/>
        </w:trPr>
        <w:tc>
          <w:tcPr>
            <w:tcW w:w="5305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Vergabestelle</w:t>
            </w:r>
          </w:p>
        </w:tc>
        <w:tc>
          <w:tcPr>
            <w:tcW w:w="186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57"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Maßnahmennummer</w:t>
            </w:r>
          </w:p>
        </w:tc>
        <w:tc>
          <w:tcPr>
            <w:tcW w:w="133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Datum</w:t>
            </w:r>
          </w:p>
        </w:tc>
      </w:tr>
      <w:tr w:rsidR="00863BBA">
        <w:trPr>
          <w:cantSplit/>
          <w:trHeight w:hRule="exact" w:val="1406"/>
        </w:trPr>
        <w:tc>
          <w:tcPr>
            <w:tcW w:w="530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86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13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863BBA">
        <w:trPr>
          <w:cantSplit/>
          <w:trHeight w:hRule="exact" w:val="284"/>
        </w:trPr>
        <w:tc>
          <w:tcPr>
            <w:tcW w:w="530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Grundbesitz bewirtschaftende Dienststelle</w:t>
            </w:r>
          </w:p>
        </w:tc>
        <w:tc>
          <w:tcPr>
            <w:tcW w:w="18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</w:tr>
      <w:tr w:rsidR="00863BBA">
        <w:trPr>
          <w:cantSplit/>
          <w:trHeight w:hRule="exact" w:val="1423"/>
        </w:trPr>
        <w:tc>
          <w:tcPr>
            <w:tcW w:w="530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86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</w:tr>
      <w:tr w:rsidR="00863BBA">
        <w:trPr>
          <w:cantSplit/>
          <w:trHeight w:hRule="exact" w:val="284"/>
        </w:trPr>
        <w:tc>
          <w:tcPr>
            <w:tcW w:w="8497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Liegenschaft</w:t>
            </w:r>
          </w:p>
        </w:tc>
      </w:tr>
      <w:tr w:rsidR="00863BBA">
        <w:trPr>
          <w:cantSplit/>
          <w:trHeight w:val="570"/>
        </w:trPr>
        <w:tc>
          <w:tcPr>
            <w:tcW w:w="8497" w:type="dxa"/>
            <w:gridSpan w:val="3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tabs>
                <w:tab w:val="left" w:pos="6180"/>
              </w:tabs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863BBA">
        <w:trPr>
          <w:cantSplit/>
          <w:trHeight w:hRule="exact" w:val="284"/>
        </w:trPr>
        <w:tc>
          <w:tcPr>
            <w:tcW w:w="8497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bottom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Energieliefer-Contracting für Gebäude</w:t>
            </w:r>
          </w:p>
        </w:tc>
      </w:tr>
      <w:tr w:rsidR="00863BBA">
        <w:trPr>
          <w:cantSplit/>
          <w:trHeight w:hRule="exact" w:val="1128"/>
        </w:trPr>
        <w:tc>
          <w:tcPr>
            <w:tcW w:w="8497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40" w:after="40" w:line="260" w:lineRule="exact"/>
              <w:ind w:left="113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" w:name="Text1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</w:tc>
      </w:tr>
    </w:tbl>
    <w:p w:rsidR="00863BBA" w:rsidRDefault="00863BBA">
      <w:pPr>
        <w:rPr>
          <w:rFonts w:ascii="Arial" w:hAnsi="Arial" w:cs="Arial"/>
          <w:sz w:val="18"/>
          <w:szCs w:val="18"/>
        </w:rPr>
      </w:pPr>
    </w:p>
    <w:p w:rsidR="00863BBA" w:rsidRDefault="00863BBA">
      <w:pPr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t>1.</w:t>
      </w:r>
      <w:r>
        <w:rPr>
          <w:rFonts w:ascii="Arial" w:hAnsi="Arial" w:cs="Arial"/>
          <w:b/>
          <w:color w:val="00CCFF"/>
          <w:sz w:val="18"/>
          <w:szCs w:val="18"/>
        </w:rPr>
        <w:tab/>
        <w:t>Kurzbeschreibung Energieliefer-Contracting</w:t>
      </w:r>
    </w:p>
    <w:p w:rsidR="00863BBA" w:rsidRDefault="00863BBA">
      <w:pPr>
        <w:spacing w:line="260" w:lineRule="exact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Beim Energieliefer-Contracting liefert ein Energiedienstleistungsunternehmen (Contractor) fertige, sofort einsetzbare Energie (Wärme / Kälte). Dafür errichtet und betreibt er in eigener Verantwortung, auf eigene Kosten und eigenes Risiko eine auf den Bedarf des Energie-Nutzers bestmöglich abgestimmte energietechnische Anlage (Energieerzeugungsanlagen, Verteilnetze, Mess-Steuer-Regel-Anlagen etc.). Alternativ liefert er die Energie aus einem von ihm betriebenen Fernwärmenetz.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Anlagen werden auf einem pachtweise überlassenen Teilgrundstück der liegenschaftsverwaltenden Stelle bzw. in einem oder mehreren pachtweise überlassenen Räumen auf der Liegenschaft errichtet und betrieben.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 Nutzer erhält so ohne Einsatz von eigenen Investitionsmitteln Energie unter Nutzung der den Energiedienstleistungsunternehmen möglichen Einkaufsvorteile für Energie und Technik und deren Kompetenz in punkto Anlagenmanagement, Energie- und Ressourceneinsparung sowie Schadstoff</w:t>
      </w:r>
      <w:r>
        <w:rPr>
          <w:rFonts w:ascii="Arial" w:hAnsi="Arial" w:cs="Arial"/>
          <w:sz w:val="18"/>
          <w:szCs w:val="18"/>
        </w:rPr>
        <w:softHyphen/>
        <w:t>minimierung.</w:t>
      </w: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Das Energiedienstleistungsunternehmen refinanziert seine Investitionskosten, die Betriebs- und Ver</w:t>
      </w:r>
      <w:r>
        <w:rPr>
          <w:rFonts w:ascii="Arial" w:hAnsi="Arial" w:cs="Arial"/>
          <w:sz w:val="18"/>
          <w:szCs w:val="18"/>
        </w:rPr>
        <w:softHyphen/>
        <w:t>brauchs</w:t>
      </w:r>
      <w:r>
        <w:rPr>
          <w:rFonts w:ascii="Arial" w:hAnsi="Arial" w:cs="Arial"/>
          <w:sz w:val="18"/>
          <w:szCs w:val="18"/>
        </w:rPr>
        <w:softHyphen/>
        <w:t>kosten der Anlagen sowie seinen Gewinn durch den Grund- und Arbeitspreis für die gelieferte Energie.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Verträge haben in der Regel eine Energie-Lieferdauer von 20 Jahren (Wärme) bzw. 15 Jahre (Kälte).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Der Energieliefervertrag wird in einem Offenen Verfahren nach </w:t>
      </w:r>
      <w:r w:rsidR="004012D5">
        <w:rPr>
          <w:rFonts w:ascii="Arial" w:hAnsi="Arial" w:cs="Arial"/>
          <w:sz w:val="18"/>
          <w:szCs w:val="18"/>
        </w:rPr>
        <w:t>VGV</w:t>
      </w:r>
      <w:r>
        <w:rPr>
          <w:rFonts w:ascii="Arial" w:hAnsi="Arial" w:cs="Arial"/>
          <w:sz w:val="18"/>
          <w:szCs w:val="18"/>
        </w:rPr>
        <w:t xml:space="preserve"> ausgeschrieben. Sollten </w:t>
      </w:r>
      <w:r w:rsidR="004D2934">
        <w:rPr>
          <w:rFonts w:ascii="Arial" w:hAnsi="Arial" w:cs="Arial"/>
          <w:sz w:val="18"/>
          <w:szCs w:val="18"/>
        </w:rPr>
        <w:t>alle Barwerte</w:t>
      </w:r>
      <w:r>
        <w:rPr>
          <w:rFonts w:ascii="Arial" w:hAnsi="Arial" w:cs="Arial"/>
          <w:sz w:val="18"/>
          <w:szCs w:val="18"/>
        </w:rPr>
        <w:t xml:space="preserve"> der Angebote in € über dem in der Leistungsbeschreibung genannten Grenzwert liegen, wird die Ausschreibung aufgehoben und die Energieversorgung anderweitig realisiert.</w:t>
      </w:r>
    </w:p>
    <w:p w:rsidR="00863BBA" w:rsidRDefault="00863BBA">
      <w:pPr>
        <w:spacing w:line="260" w:lineRule="exact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863BBA" w:rsidRDefault="005B5241">
      <w:pPr>
        <w:tabs>
          <w:tab w:val="left" w:pos="567"/>
        </w:tabs>
        <w:spacing w:line="260" w:lineRule="exact"/>
        <w:ind w:left="567" w:hanging="567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lastRenderedPageBreak/>
        <w:t>2.</w:t>
      </w:r>
      <w:r>
        <w:rPr>
          <w:rFonts w:ascii="Arial" w:hAnsi="Arial" w:cs="Arial"/>
          <w:b/>
          <w:color w:val="00CCFF"/>
          <w:sz w:val="18"/>
          <w:szCs w:val="18"/>
        </w:rPr>
        <w:tab/>
        <w:t>Vereinbarung:</w:t>
      </w:r>
    </w:p>
    <w:p w:rsidR="00863BBA" w:rsidRDefault="00863BBA">
      <w:pPr>
        <w:spacing w:line="260" w:lineRule="exact"/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2.1</w:t>
      </w:r>
      <w:r>
        <w:rPr>
          <w:rFonts w:ascii="Arial" w:hAnsi="Arial" w:cs="Arial"/>
          <w:b/>
          <w:bCs/>
          <w:sz w:val="18"/>
          <w:szCs w:val="18"/>
        </w:rPr>
        <w:tab/>
        <w:t>Die Bauverwaltung wird beauftragt, die Ausschreibung eines Energieliefervertrages durchzu</w:t>
      </w:r>
      <w:r>
        <w:rPr>
          <w:rFonts w:ascii="Arial" w:hAnsi="Arial" w:cs="Arial"/>
          <w:b/>
          <w:bCs/>
          <w:sz w:val="18"/>
          <w:szCs w:val="18"/>
        </w:rPr>
        <w:softHyphen/>
        <w:t>führen. Die Energie-Lieferdauer des Vertrags beträgt: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1579"/>
        <w:gridCol w:w="890"/>
      </w:tblGrid>
      <w:tr w:rsidR="00863BBA">
        <w:tc>
          <w:tcPr>
            <w:tcW w:w="1579" w:type="dxa"/>
            <w:shd w:val="clear" w:color="auto" w:fill="FFFF00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890" w:type="dxa"/>
            <w:shd w:val="clear" w:color="auto" w:fill="auto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Jahre</w:t>
            </w:r>
          </w:p>
        </w:tc>
      </w:tr>
    </w:tbl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2.2</w:t>
      </w:r>
      <w:r>
        <w:rPr>
          <w:rFonts w:ascii="Arial" w:hAnsi="Arial" w:cs="Arial"/>
          <w:b/>
          <w:bCs/>
          <w:sz w:val="18"/>
          <w:szCs w:val="18"/>
        </w:rPr>
        <w:tab/>
        <w:t>Die mit der Vorbereitung und Durchführung der Ausschreibung verbundenen Kosten belaufen sich auf ca.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1549"/>
        <w:gridCol w:w="890"/>
      </w:tblGrid>
      <w:tr w:rsidR="00863BBA">
        <w:tc>
          <w:tcPr>
            <w:tcW w:w="1549" w:type="dxa"/>
            <w:shd w:val="clear" w:color="auto" w:fill="FFFF00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890" w:type="dxa"/>
            <w:shd w:val="clear" w:color="auto" w:fill="auto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</w:tr>
    </w:tbl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Die erforderlichen Haushaltsmittel werden der Bauverwaltung durch die Grundbesitz bewirtschaftende Dienststelle bzw. deren vorgesetzte Dienststelle zugewiesen.</w:t>
      </w: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2.3</w:t>
      </w:r>
      <w:r>
        <w:rPr>
          <w:rFonts w:ascii="Arial" w:hAnsi="Arial" w:cs="Arial"/>
          <w:b/>
          <w:bCs/>
          <w:sz w:val="18"/>
          <w:szCs w:val="18"/>
        </w:rPr>
        <w:tab/>
        <w:t>Die Grundbesitz bewirtschaftende Dienststelle verpflichtet sich, mit dem Contractor den Energieliefervertrag zeitgleich mit der Auftragserteilung durch die Vergabestelle abzuschließen.</w:t>
      </w: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2.4</w:t>
      </w:r>
      <w:r>
        <w:rPr>
          <w:rFonts w:ascii="Arial" w:hAnsi="Arial" w:cs="Arial"/>
          <w:b/>
          <w:bCs/>
          <w:sz w:val="18"/>
          <w:szCs w:val="18"/>
        </w:rPr>
        <w:tab/>
        <w:t>Die Grundbesitz bewirtschaftende Dienststelle wird darauf hingewiesen, dass Schadenersatzpflicht entsteht, wenn der Energieliefervertrag nicht abgeschlossen wird.</w:t>
      </w: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tbl>
      <w:tblPr>
        <w:tblW w:w="8589" w:type="dxa"/>
        <w:tblInd w:w="682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ook w:val="0000" w:firstRow="0" w:lastRow="0" w:firstColumn="0" w:lastColumn="0" w:noHBand="0" w:noVBand="0"/>
      </w:tblPr>
      <w:tblGrid>
        <w:gridCol w:w="2044"/>
        <w:gridCol w:w="748"/>
        <w:gridCol w:w="1368"/>
        <w:gridCol w:w="236"/>
        <w:gridCol w:w="2118"/>
        <w:gridCol w:w="766"/>
        <w:gridCol w:w="1309"/>
      </w:tblGrid>
      <w:tr w:rsidR="00863BBA">
        <w:trPr>
          <w:trHeight w:val="283"/>
        </w:trPr>
        <w:tc>
          <w:tcPr>
            <w:tcW w:w="2044" w:type="dxa"/>
            <w:shd w:val="clear" w:color="auto" w:fill="FFFF00"/>
            <w:vAlign w:val="center"/>
          </w:tcPr>
          <w:bookmarkStart w:id="9" w:name="Text18"/>
          <w:p w:rsidR="00863BBA" w:rsidRDefault="005B5241">
            <w:pPr>
              <w:rPr>
                <w:rFonts w:ascii="Arial" w:hAnsi="Arial" w:cs="Arial"/>
                <w:szCs w:val="18"/>
                <w:highlight w:val="yellow"/>
              </w:rPr>
            </w:pPr>
            <w:r>
              <w:rPr>
                <w:rFonts w:ascii="Arial" w:hAnsi="Arial" w:cs="Arial"/>
                <w:szCs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Ort"/>
                  </w:textInput>
                </w:ffData>
              </w:fldChar>
            </w:r>
            <w:r>
              <w:rPr>
                <w:rFonts w:ascii="Arial" w:hAnsi="Arial" w:cs="Arial"/>
                <w:szCs w:val="18"/>
                <w:highlight w:val="yellow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highlight w:val="yellow"/>
              </w:rPr>
            </w:r>
            <w:r>
              <w:rPr>
                <w:rFonts w:ascii="Arial" w:hAnsi="Arial" w:cs="Arial"/>
                <w:szCs w:val="18"/>
                <w:highlight w:val="yellow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highlight w:val="yellow"/>
              </w:rPr>
              <w:t>Ort</w:t>
            </w:r>
            <w:r>
              <w:rPr>
                <w:rFonts w:ascii="Arial" w:hAnsi="Arial" w:cs="Arial"/>
                <w:szCs w:val="18"/>
                <w:highlight w:val="yellow"/>
              </w:rPr>
              <w:fldChar w:fldCharType="end"/>
            </w:r>
            <w:bookmarkEnd w:id="9"/>
          </w:p>
        </w:tc>
        <w:tc>
          <w:tcPr>
            <w:tcW w:w="748" w:type="dxa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, den</w:t>
            </w:r>
          </w:p>
        </w:tc>
        <w:bookmarkStart w:id="10" w:name="Text19"/>
        <w:tc>
          <w:tcPr>
            <w:tcW w:w="1368" w:type="dxa"/>
            <w:shd w:val="clear" w:color="auto" w:fill="FFFF00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rPr>
                <w:rFonts w:ascii="Arial" w:hAnsi="Arial" w:cs="Arial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</w:rPr>
            </w:r>
            <w:r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Datum</w:t>
            </w:r>
            <w:r>
              <w:rPr>
                <w:rFonts w:ascii="Arial" w:hAnsi="Arial" w:cs="Arial"/>
                <w:szCs w:val="18"/>
              </w:rPr>
              <w:fldChar w:fldCharType="end"/>
            </w:r>
            <w:bookmarkEnd w:id="10"/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bookmarkStart w:id="11" w:name="Text20"/>
        <w:tc>
          <w:tcPr>
            <w:tcW w:w="2118" w:type="dxa"/>
            <w:shd w:val="clear" w:color="auto" w:fill="FFFF00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>
              <w:rPr>
                <w:rFonts w:ascii="Arial" w:hAnsi="Arial" w:cs="Arial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</w:rPr>
            </w:r>
            <w:r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Ort</w:t>
            </w:r>
            <w:r>
              <w:rPr>
                <w:rFonts w:ascii="Arial" w:hAnsi="Arial" w:cs="Arial"/>
                <w:szCs w:val="18"/>
              </w:rPr>
              <w:fldChar w:fldCharType="end"/>
            </w:r>
            <w:bookmarkEnd w:id="11"/>
          </w:p>
        </w:tc>
        <w:tc>
          <w:tcPr>
            <w:tcW w:w="766" w:type="dxa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, den</w:t>
            </w:r>
          </w:p>
        </w:tc>
        <w:bookmarkStart w:id="12" w:name="Text21"/>
        <w:tc>
          <w:tcPr>
            <w:tcW w:w="1309" w:type="dxa"/>
            <w:shd w:val="clear" w:color="auto" w:fill="FFFF00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rPr>
                <w:rFonts w:ascii="Arial" w:hAnsi="Arial" w:cs="Arial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</w:rPr>
            </w:r>
            <w:r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Datum</w:t>
            </w:r>
            <w:r>
              <w:rPr>
                <w:rFonts w:ascii="Arial" w:hAnsi="Arial" w:cs="Arial"/>
                <w:szCs w:val="18"/>
              </w:rPr>
              <w:fldChar w:fldCharType="end"/>
            </w:r>
            <w:bookmarkEnd w:id="12"/>
          </w:p>
        </w:tc>
      </w:tr>
      <w:tr w:rsidR="00863BBA">
        <w:trPr>
          <w:trHeight w:val="283"/>
        </w:trPr>
        <w:tc>
          <w:tcPr>
            <w:tcW w:w="2044" w:type="dxa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pStyle w:val="NormalBold"/>
              <w:rPr>
                <w:szCs w:val="18"/>
              </w:rPr>
            </w:pPr>
          </w:p>
          <w:p w:rsidR="00863BBA" w:rsidRDefault="005B5241">
            <w:pPr>
              <w:pStyle w:val="NormalBold"/>
              <w:rPr>
                <w:szCs w:val="18"/>
              </w:rPr>
            </w:pPr>
            <w:r>
              <w:rPr>
                <w:szCs w:val="18"/>
              </w:rPr>
              <w:t>Vergabestelle</w:t>
            </w:r>
          </w:p>
        </w:tc>
        <w:tc>
          <w:tcPr>
            <w:tcW w:w="748" w:type="dxa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368" w:type="dxa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193" w:type="dxa"/>
            <w:gridSpan w:val="3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pStyle w:val="NormalBold"/>
              <w:rPr>
                <w:szCs w:val="18"/>
              </w:rPr>
            </w:pPr>
          </w:p>
          <w:p w:rsidR="00863BBA" w:rsidRDefault="005B524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Grundbesitz bewirtschaftende Dienststelle</w:t>
            </w:r>
          </w:p>
        </w:tc>
      </w:tr>
      <w:tr w:rsidR="00863BBA">
        <w:trPr>
          <w:trHeight w:val="996"/>
        </w:trPr>
        <w:tc>
          <w:tcPr>
            <w:tcW w:w="4160" w:type="dxa"/>
            <w:gridSpan w:val="3"/>
            <w:vMerge w:val="restart"/>
            <w:shd w:val="clear" w:color="auto" w:fill="FFFF00"/>
            <w:vAlign w:val="bottom"/>
          </w:tcPr>
          <w:p w:rsidR="00863BBA" w:rsidRDefault="005B524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(Stempel / Dienstsiegel und rechtsverbindliche Unterschrift)</w:t>
            </w:r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193" w:type="dxa"/>
            <w:gridSpan w:val="3"/>
            <w:vMerge w:val="restart"/>
            <w:shd w:val="clear" w:color="auto" w:fill="FFFF00"/>
            <w:vAlign w:val="bottom"/>
          </w:tcPr>
          <w:p w:rsidR="00863BBA" w:rsidRDefault="005B524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(Stempel / Dienstsiegel und rechtsverbindliche Unterschrift)</w:t>
            </w:r>
          </w:p>
        </w:tc>
      </w:tr>
      <w:tr w:rsidR="00863BBA">
        <w:trPr>
          <w:trHeight w:val="283"/>
        </w:trPr>
        <w:tc>
          <w:tcPr>
            <w:tcW w:w="4160" w:type="dxa"/>
            <w:gridSpan w:val="3"/>
            <w:vMerge/>
            <w:shd w:val="clear" w:color="auto" w:fill="FFFF00"/>
            <w:vAlign w:val="center"/>
          </w:tcPr>
          <w:p w:rsidR="00863BBA" w:rsidRDefault="00863BBA">
            <w:pPr>
              <w:rPr>
                <w:szCs w:val="18"/>
              </w:rPr>
            </w:pPr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szCs w:val="18"/>
              </w:rPr>
            </w:pPr>
          </w:p>
        </w:tc>
        <w:tc>
          <w:tcPr>
            <w:tcW w:w="4193" w:type="dxa"/>
            <w:gridSpan w:val="3"/>
            <w:vMerge/>
            <w:shd w:val="clear" w:color="auto" w:fill="FFFF00"/>
            <w:vAlign w:val="center"/>
          </w:tcPr>
          <w:p w:rsidR="00863BBA" w:rsidRDefault="00863BBA">
            <w:pPr>
              <w:rPr>
                <w:szCs w:val="18"/>
              </w:rPr>
            </w:pPr>
          </w:p>
        </w:tc>
      </w:tr>
    </w:tbl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sectPr w:rsidR="00863BBA">
      <w:headerReference w:type="default" r:id="rId7"/>
      <w:footerReference w:type="default" r:id="rId8"/>
      <w:pgSz w:w="11906" w:h="16838" w:code="9"/>
      <w:pgMar w:top="1418" w:right="1418" w:bottom="425" w:left="1418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D2" w:rsidRDefault="00637FD2">
      <w:r>
        <w:separator/>
      </w:r>
    </w:p>
  </w:endnote>
  <w:endnote w:type="continuationSeparator" w:id="0">
    <w:p w:rsidR="00637FD2" w:rsidRDefault="0063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BA" w:rsidRDefault="005B5241">
    <w:pPr>
      <w:pStyle w:val="Fuzeile"/>
      <w:tabs>
        <w:tab w:val="clear" w:pos="4536"/>
        <w:tab w:val="clear" w:pos="9072"/>
        <w:tab w:val="left" w:pos="2562"/>
      </w:tabs>
      <w:spacing w:line="26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Seite </w:t>
    </w:r>
    <w:r>
      <w:rPr>
        <w:rStyle w:val="Seitenzahl"/>
        <w:rFonts w:ascii="Arial" w:hAnsi="Arial" w:cs="Arial"/>
        <w:sz w:val="14"/>
        <w:szCs w:val="14"/>
      </w:rPr>
      <w:fldChar w:fldCharType="begin"/>
    </w:r>
    <w:r>
      <w:rPr>
        <w:rStyle w:val="Seitenzahl"/>
        <w:rFonts w:ascii="Arial" w:hAnsi="Arial" w:cs="Arial"/>
        <w:sz w:val="14"/>
        <w:szCs w:val="14"/>
      </w:rPr>
      <w:instrText xml:space="preserve"> PAGE </w:instrText>
    </w:r>
    <w:r>
      <w:rPr>
        <w:rStyle w:val="Seitenzahl"/>
        <w:rFonts w:ascii="Arial" w:hAnsi="Arial" w:cs="Arial"/>
        <w:sz w:val="14"/>
        <w:szCs w:val="14"/>
      </w:rPr>
      <w:fldChar w:fldCharType="separate"/>
    </w:r>
    <w:r w:rsidR="00CF759F">
      <w:rPr>
        <w:rStyle w:val="Seitenzahl"/>
        <w:rFonts w:ascii="Arial" w:hAnsi="Arial" w:cs="Arial"/>
        <w:noProof/>
        <w:sz w:val="14"/>
        <w:szCs w:val="14"/>
      </w:rPr>
      <w:t>1</w:t>
    </w:r>
    <w:r>
      <w:rPr>
        <w:rStyle w:val="Seitenzahl"/>
        <w:rFonts w:ascii="Arial" w:hAnsi="Arial" w:cs="Arial"/>
        <w:sz w:val="14"/>
        <w:szCs w:val="14"/>
      </w:rPr>
      <w:fldChar w:fldCharType="end"/>
    </w:r>
    <w:r>
      <w:rPr>
        <w:rStyle w:val="Seitenzahl"/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>
      <w:rPr>
        <w:rStyle w:val="Seitenzahl"/>
        <w:rFonts w:ascii="Arial" w:hAnsi="Arial" w:cs="Arial"/>
        <w:sz w:val="14"/>
        <w:szCs w:val="14"/>
      </w:rPr>
      <w:fldChar w:fldCharType="begin"/>
    </w:r>
    <w:r>
      <w:rPr>
        <w:rStyle w:val="Seitenzahl"/>
        <w:rFonts w:ascii="Arial" w:hAnsi="Arial" w:cs="Arial"/>
        <w:sz w:val="14"/>
        <w:szCs w:val="14"/>
      </w:rPr>
      <w:instrText xml:space="preserve"> NUMPAGES </w:instrText>
    </w:r>
    <w:r>
      <w:rPr>
        <w:rStyle w:val="Seitenzahl"/>
        <w:rFonts w:ascii="Arial" w:hAnsi="Arial" w:cs="Arial"/>
        <w:sz w:val="14"/>
        <w:szCs w:val="14"/>
      </w:rPr>
      <w:fldChar w:fldCharType="separate"/>
    </w:r>
    <w:r w:rsidR="00CF759F">
      <w:rPr>
        <w:rStyle w:val="Seitenzahl"/>
        <w:rFonts w:ascii="Arial" w:hAnsi="Arial" w:cs="Arial"/>
        <w:noProof/>
        <w:sz w:val="14"/>
        <w:szCs w:val="14"/>
      </w:rPr>
      <w:t>2</w:t>
    </w:r>
    <w:r>
      <w:rPr>
        <w:rStyle w:val="Seitenzahl"/>
        <w:rFonts w:ascii="Arial" w:hAnsi="Arial" w:cs="Arial"/>
        <w:sz w:val="14"/>
        <w:szCs w:val="14"/>
      </w:rPr>
      <w:fldChar w:fldCharType="end"/>
    </w:r>
    <w:r>
      <w:rPr>
        <w:rFonts w:ascii="Arial" w:hAnsi="Arial" w:cs="Arial"/>
        <w:sz w:val="14"/>
        <w:szCs w:val="14"/>
      </w:rPr>
      <w:tab/>
    </w:r>
    <w:r w:rsidR="008D161E">
      <w:rPr>
        <w:rFonts w:ascii="Arial" w:hAnsi="Arial" w:cs="Arial"/>
        <w:sz w:val="14"/>
        <w:szCs w:val="14"/>
      </w:rPr>
      <w:t xml:space="preserve">              </w:t>
    </w:r>
    <w:r>
      <w:rPr>
        <w:rFonts w:ascii="Arial" w:hAnsi="Arial" w:cs="Arial"/>
        <w:sz w:val="14"/>
        <w:szCs w:val="14"/>
      </w:rPr>
      <w:t xml:space="preserve">Leitfaden Contracting der Bayerischen Staatlichen Hochbauverwaltung, Stand: </w:t>
    </w:r>
    <w:r w:rsidR="007B7A26">
      <w:rPr>
        <w:rFonts w:ascii="Arial" w:hAnsi="Arial" w:cs="Arial"/>
        <w:sz w:val="14"/>
        <w:szCs w:val="14"/>
      </w:rPr>
      <w:t>Februar/2022</w:t>
    </w:r>
  </w:p>
  <w:p w:rsidR="00863BBA" w:rsidRDefault="00863B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D2" w:rsidRDefault="00637FD2">
      <w:r>
        <w:separator/>
      </w:r>
    </w:p>
  </w:footnote>
  <w:footnote w:type="continuationSeparator" w:id="0">
    <w:p w:rsidR="00637FD2" w:rsidRDefault="00637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BA" w:rsidRDefault="005B5241">
    <w:pPr>
      <w:pStyle w:val="Kopfzeile"/>
      <w:rPr>
        <w:rFonts w:ascii="Arial" w:hAnsi="Arial" w:cs="Arial"/>
        <w:b/>
        <w:color w:val="999999"/>
        <w:sz w:val="18"/>
        <w:szCs w:val="18"/>
      </w:rPr>
    </w:pPr>
    <w:r>
      <w:rPr>
        <w:rFonts w:ascii="Arial" w:hAnsi="Arial" w:cs="Arial"/>
        <w:b/>
        <w:color w:val="00CCFF"/>
        <w:sz w:val="18"/>
        <w:szCs w:val="18"/>
      </w:rPr>
      <w:t>Energieliefer-Contracting</w:t>
    </w:r>
    <w:r>
      <w:rPr>
        <w:rFonts w:ascii="Arial" w:hAnsi="Arial" w:cs="Arial"/>
        <w:b/>
        <w:color w:val="999999"/>
        <w:sz w:val="18"/>
        <w:szCs w:val="18"/>
      </w:rPr>
      <w:t xml:space="preserve"> | AH, Anlage 2 – Vereinbarung mit Grundbesitz bewirtschaftender Dienststelle</w:t>
    </w:r>
  </w:p>
  <w:p w:rsidR="00863BBA" w:rsidRDefault="00863B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A4B"/>
    <w:multiLevelType w:val="hybridMultilevel"/>
    <w:tmpl w:val="FD66D2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5B3025"/>
    <w:multiLevelType w:val="hybridMultilevel"/>
    <w:tmpl w:val="890C3B84"/>
    <w:lvl w:ilvl="0" w:tplc="FFFFFFFF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A0BA7"/>
    <w:multiLevelType w:val="hybridMultilevel"/>
    <w:tmpl w:val="098240D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2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msqAwCuvmdk9LaXah41bqyF2On6TsansFyLxYisCPkv4WJwOXtA84+joZns9OmQhPAc3zpR4Ax7ed3FbJjSIg==" w:salt="IozKkxBr+m2LwOXk7E9DLQ=="/>
  <w:defaultTabStop w:val="708"/>
  <w:hyphenationZone w:val="425"/>
  <w:drawingGridHorizontalSpacing w:val="187"/>
  <w:drawingGridVerticalSpacing w:val="127"/>
  <w:displayHorizontalDrawingGridEvery w:val="0"/>
  <w:displayVerticalDrawingGridEvery w:val="2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D5"/>
    <w:rsid w:val="001D2FAC"/>
    <w:rsid w:val="003338C1"/>
    <w:rsid w:val="003C793E"/>
    <w:rsid w:val="004012D5"/>
    <w:rsid w:val="004D2934"/>
    <w:rsid w:val="005B5241"/>
    <w:rsid w:val="00637FD2"/>
    <w:rsid w:val="007B7A26"/>
    <w:rsid w:val="00863BBA"/>
    <w:rsid w:val="008D161E"/>
    <w:rsid w:val="00A475A2"/>
    <w:rsid w:val="00C86F25"/>
    <w:rsid w:val="00C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Optima LT" w:hAnsi="Optima LT"/>
      <w:szCs w:val="24"/>
      <w:lang w:eastAsia="en-US"/>
    </w:rPr>
  </w:style>
  <w:style w:type="paragraph" w:styleId="berschrift1">
    <w:name w:val="heading 1"/>
    <w:basedOn w:val="Standard"/>
    <w:next w:val="Standard"/>
    <w:autoRedefine/>
    <w:qFormat/>
    <w:pPr>
      <w:outlineLvl w:val="0"/>
    </w:pPr>
    <w:rPr>
      <w:sz w:val="32"/>
    </w:rPr>
  </w:style>
  <w:style w:type="paragraph" w:styleId="berschrift2">
    <w:name w:val="heading 2"/>
    <w:basedOn w:val="berschrift1"/>
    <w:next w:val="Standard"/>
    <w:autoRedefine/>
    <w:qFormat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autoRedefine/>
    <w:qFormat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9">
    <w:name w:val="CM29"/>
    <w:basedOn w:val="Default"/>
    <w:next w:val="Default"/>
    <w:rPr>
      <w:color w:val="auto"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 Bold"/>
    <w:basedOn w:val="Standard"/>
    <w:pPr>
      <w:spacing w:after="100"/>
    </w:pPr>
    <w:rPr>
      <w:rFonts w:ascii="Arial" w:eastAsia="Times" w:hAnsi="Arial" w:cs="Arial"/>
      <w:b/>
      <w:sz w:val="18"/>
      <w:szCs w:val="20"/>
      <w:lang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4012D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012D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012D5"/>
    <w:rPr>
      <w:rFonts w:ascii="Optima LT" w:hAnsi="Optima LT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4012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012D5"/>
    <w:rPr>
      <w:rFonts w:ascii="Optima LT" w:hAnsi="Optima L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2017-11-23T09:44:00Z</dcterms:created>
  <dcterms:modified xsi:type="dcterms:W3CDTF">2022-01-27T14:10:00Z</dcterms:modified>
</cp:coreProperties>
</file>